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8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103" w:type="dxa"/>
        </w:tblCellMar>
        <w:tblLook w:val="04A0"/>
      </w:tblPr>
      <w:tblGrid>
        <w:gridCol w:w="10349"/>
      </w:tblGrid>
      <w:tr w:rsidR="00A2281E" w:rsidTr="00003DDB"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A2281E" w:rsidRDefault="00003DDB" w:rsidP="00003DDB">
            <w:pPr>
              <w:widowControl w:val="0"/>
              <w:spacing w:after="40" w:line="240" w:lineRule="auto"/>
              <w:jc w:val="right"/>
            </w:pPr>
            <w:bookmarkStart w:id="0" w:name="_GoBack" w:colFirst="0" w:colLast="0"/>
            <w:r>
              <w:t>Załącznik nr 1 do Zadania nr 1</w:t>
            </w:r>
          </w:p>
        </w:tc>
      </w:tr>
      <w:tr w:rsidR="00A2281E" w:rsidTr="00003DDB">
        <w:trPr>
          <w:trHeight w:val="460"/>
        </w:trPr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A2281E" w:rsidRDefault="00A2281E" w:rsidP="00003DDB">
            <w:pPr>
              <w:keepNext/>
              <w:widowControl w:val="0"/>
              <w:spacing w:after="40" w:line="240" w:lineRule="auto"/>
              <w:jc w:val="center"/>
              <w:outlineLvl w:val="0"/>
            </w:pPr>
          </w:p>
        </w:tc>
      </w:tr>
    </w:tbl>
    <w:bookmarkEnd w:id="0"/>
    <w:p w:rsidR="00A2281E" w:rsidRDefault="00A2281E" w:rsidP="00A2281E">
      <w:pPr>
        <w:widowControl w:val="0"/>
        <w:spacing w:after="0" w:line="240" w:lineRule="auto"/>
        <w:jc w:val="center"/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</w:pPr>
      <w:r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  <w:t>OŚWIADCZAMY, ŻE OFERUJEMY:</w:t>
      </w:r>
    </w:p>
    <w:p w:rsidR="00A2281E" w:rsidRDefault="00A2281E" w:rsidP="00A2281E">
      <w:pPr>
        <w:keepNext/>
        <w:widowControl w:val="0"/>
        <w:spacing w:before="240" w:after="120" w:line="240" w:lineRule="auto"/>
        <w:jc w:val="both"/>
      </w:pPr>
      <w:r>
        <w:rPr>
          <w:rFonts w:eastAsia="Microsoft YaHei" w:cs="Mangal"/>
          <w:kern w:val="2"/>
          <w:sz w:val="20"/>
          <w:szCs w:val="20"/>
          <w:lang w:eastAsia="zh-CN"/>
        </w:rPr>
        <w:t>Niespełnienie co najmniej jednego z postawionych poniżej wymagań co do ich wartości minimalnych spowoduje odrzucenie oferty.</w:t>
      </w:r>
    </w:p>
    <w:p w:rsidR="00A2281E" w:rsidRDefault="00A2281E" w:rsidP="00A2281E">
      <w:pPr>
        <w:widowControl w:val="0"/>
        <w:spacing w:after="0" w:line="240" w:lineRule="auto"/>
      </w:pPr>
      <w:bookmarkStart w:id="1" w:name="_Hlk40258096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Kolumnę 4 wypełnia Wykonawca</w:t>
      </w:r>
      <w:bookmarkEnd w:id="1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.</w:t>
      </w:r>
    </w:p>
    <w:tbl>
      <w:tblPr>
        <w:tblW w:w="10430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650"/>
        <w:gridCol w:w="4980"/>
        <w:gridCol w:w="1693"/>
        <w:gridCol w:w="3107"/>
      </w:tblGrid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Lp.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OPIS  PARAMETRÓW WYMAGANYCH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Wymogi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graniczne/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Sposób oceny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Odpowiedź Wykonawcy 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- TAK/NIE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parametry oferowane - należy</w:t>
            </w: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br/>
              <w:t>podać zakresy lub opisać</w:t>
            </w:r>
          </w:p>
        </w:tc>
      </w:tr>
      <w:tr w:rsidR="00A2281E" w:rsidTr="00003DDB"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Pr="00DF7E09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DF7E09"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Aparat RTG </w:t>
            </w:r>
            <w:r w:rsidR="00DF7E09" w:rsidRPr="00DF7E09"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stacjonarny wraz z adaptacją pomieszczeń </w:t>
            </w:r>
            <w:r w:rsidRPr="00DF7E09"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szt. 1 </w:t>
            </w:r>
          </w:p>
        </w:tc>
      </w:tr>
      <w:tr w:rsidR="00A2281E" w:rsidTr="00003DDB"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Typ/model oferowanego sprzętu: .......................................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Producent: .........................................................................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Kraj produkcji: ...................................................................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Rok produkcji: ...................................................................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4</w:t>
            </w: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ind w:left="21"/>
              <w:rPr>
                <w:rFonts w:ascii="Cambria" w:eastAsia="MS Mincho" w:hAnsi="Cambria" w:cs="Tahoma"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kern w:val="2"/>
                <w:lang w:eastAsia="zh-CN"/>
              </w:rPr>
              <w:t>A.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/>
                <w:bCs/>
                <w:kern w:val="2"/>
                <w:lang w:eastAsia="zh-CN"/>
              </w:rPr>
              <w:t>PODSTAWOWE</w:t>
            </w: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Aparat wyprodukowany w nie wcześniej niż w 2021 roku, fabrycznie nowy, nieużywany,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nierekondycjonowany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niepowystawowy</w:t>
            </w:r>
            <w:proofErr w:type="spellEnd"/>
          </w:p>
          <w:p w:rsidR="00DF7E09" w:rsidRDefault="00DF7E09" w:rsidP="00003DDB">
            <w:pPr>
              <w:widowControl w:val="0"/>
              <w:spacing w:after="0" w:line="240" w:lineRule="auto"/>
            </w:pPr>
            <w:r>
              <w:t xml:space="preserve">gwarancja min. </w:t>
            </w:r>
            <w:r w:rsidRPr="00DF7E09">
              <w:t>24</w:t>
            </w:r>
            <w:r>
              <w:t xml:space="preserve"> miesiące na całość zamówienia,</w:t>
            </w:r>
          </w:p>
          <w:p w:rsidR="00DF7E09" w:rsidRDefault="00DF7E09" w:rsidP="00DF7E0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t>bezpłatne przeglądy sprzętu w okresie gwarancji</w:t>
            </w:r>
            <w:r w:rsidR="007C2859">
              <w:t xml:space="preserve"> wg zaleceń Producenta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Producent, nazwa aparatu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Podstawowe elementy urządzania jak: stół, statyw płucny, zawieszenie lampy, generator jednego producenta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 – 10 pkt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Nie – 0 pkt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Detektor tego samego producenta co aparat RTG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Aparat ze zmotoryzowanym zawieszeniem sufitowym, stołem i stojakiem z możliwością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autopozycjonowania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dobranego do wykonywanego badania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Autopozycjonowanie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lampy w pomieszczeniu do wybranego badania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Ilość pozycji min. 10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1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ind w:left="21"/>
              <w:rPr>
                <w:rFonts w:ascii="Cambria" w:eastAsia="MS Mincho" w:hAnsi="Cambria" w:cs="Tahoma"/>
                <w:color w:val="000000" w:themeColor="text1"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color w:val="000000" w:themeColor="text1"/>
                <w:kern w:val="2"/>
                <w:lang w:eastAsia="zh-CN"/>
              </w:rPr>
              <w:t>B.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Garamond" w:hAnsi="Cambria" w:cs="Garamond"/>
                <w:b/>
                <w:bCs/>
                <w:color w:val="000000" w:themeColor="text1"/>
                <w:kern w:val="2"/>
                <w:lang w:eastAsia="zh-CN"/>
              </w:rPr>
              <w:t>GENERATOR</w:t>
            </w: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Generator typu HF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Moc generatora ≥ 65 kW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ind w:hanging="355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Zakres napięć ≥ 40 – 150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kV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5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Zakres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mAs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: 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- min. ≤ 0,5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mAs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; 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- max. ≥ 800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mAs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Zakres prądów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 xml:space="preserve">- min. ≤ 20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</w:t>
            </w:r>
            <w:proofErr w:type="spellEnd"/>
          </w:p>
          <w:p w:rsidR="00A2281E" w:rsidRDefault="00A2281E" w:rsidP="00003DDB">
            <w:pPr>
              <w:widowControl w:val="0"/>
              <w:spacing w:after="0" w:line="240" w:lineRule="auto"/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- max. ≥ 800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ind w:left="-5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Najkrótszy czas ekspozycji  ≤ 1 ms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ind w:left="-5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Automatyka zdjęciowa (AEC) z możliwością jej wyłączenia i pracy z ręcznym doborem parametrów ekspozycji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ind w:left="-5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Programy anatomiczne z synchronizacją nastaw anatomicznych z systemem AEC  ≥ 750 programów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6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ind w:left="-5"/>
              <w:rPr>
                <w:rFonts w:ascii="Cambria" w:hAnsi="Cambria"/>
              </w:rPr>
            </w:pPr>
            <w:r>
              <w:rPr>
                <w:rFonts w:ascii="Cambria" w:eastAsia="Times New Roman" w:hAnsi="Cambria" w:cs="Calibri"/>
                <w:kern w:val="2"/>
                <w:lang w:eastAsia="pl-PL"/>
              </w:rPr>
              <w:t xml:space="preserve">Zasilanie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>3x400V / 50 Hz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MS Mincho" w:hAnsi="Cambria" w:cs="Tahoma"/>
                <w:kern w:val="2"/>
                <w:lang w:eastAsia="zh-CN"/>
              </w:rPr>
              <w:t>C.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LAMPA RTG, KOLIMATOR, DAP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Lampa dwuogniskowa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TAK,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6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Ognisko lampy – małe</w:t>
            </w:r>
          </w:p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Ognisko lampy – duże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</w:rPr>
            </w:pPr>
            <w:r>
              <w:rPr>
                <w:rFonts w:ascii="Cambria" w:eastAsia="Times New Roman" w:hAnsi="Cambria" w:cs="TT14Bt00"/>
                <w:u w:val="single"/>
                <w:lang w:eastAsia="pl-PL"/>
              </w:rPr>
              <w:t>&lt;</w:t>
            </w:r>
            <w:r>
              <w:rPr>
                <w:rFonts w:ascii="Cambria" w:eastAsia="Times New Roman" w:hAnsi="Cambria" w:cs="TT14Bt00"/>
                <w:lang w:eastAsia="pl-PL"/>
              </w:rPr>
              <w:t xml:space="preserve"> 0,6 mm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Times New Roman" w:hAnsi="Cambria" w:cs="TT14Bt00"/>
                <w:u w:val="single"/>
                <w:lang w:eastAsia="pl-PL"/>
              </w:rPr>
            </w:pP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Times New Roman" w:hAnsi="Cambria" w:cs="TT14Bt00"/>
                <w:u w:val="single"/>
                <w:lang w:eastAsia="pl-PL"/>
              </w:rPr>
              <w:t>&lt;</w:t>
            </w:r>
            <w:r>
              <w:rPr>
                <w:rFonts w:ascii="Cambria" w:eastAsia="Times New Roman" w:hAnsi="Cambria" w:cs="TT14Bt00"/>
                <w:lang w:eastAsia="pl-PL"/>
              </w:rPr>
              <w:t xml:space="preserve"> 1,2 mm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Pojemność cieplna anody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400 KHU,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Pojemność cieplna lampy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2.0 MHU,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Prędkość wirowania anody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8000 </w:t>
            </w:r>
            <w:proofErr w:type="spellStart"/>
            <w:r>
              <w:rPr>
                <w:rFonts w:ascii="Cambria" w:hAnsi="Cambria"/>
              </w:rPr>
              <w:t>obr</w:t>
            </w:r>
            <w:proofErr w:type="spellEnd"/>
            <w:r>
              <w:rPr>
                <w:rFonts w:ascii="Cambria" w:hAnsi="Cambria"/>
              </w:rPr>
              <w:t>/min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Szybkość chłodzenia anody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90 </w:t>
            </w:r>
            <w:proofErr w:type="spellStart"/>
            <w:r>
              <w:rPr>
                <w:rFonts w:ascii="Cambria" w:hAnsi="Cambria"/>
              </w:rPr>
              <w:t>kHU</w:t>
            </w:r>
            <w:proofErr w:type="spellEnd"/>
            <w:r>
              <w:rPr>
                <w:rFonts w:ascii="Cambria" w:hAnsi="Cambria"/>
              </w:rPr>
              <w:t>/min,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21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Moc ogniska małego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40KW, podać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Moc ogniska dużego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&gt;</w:t>
            </w:r>
            <w:r>
              <w:rPr>
                <w:rFonts w:ascii="Cambria" w:hAnsi="Cambria"/>
              </w:rPr>
              <w:t xml:space="preserve"> 90KW,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66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Kolimator automatyczny z wbudowaną zmotoryzowaną filtracją min. 2mm Al., 1mm Al. +0,1mm Cu, 1mm Al. + 0,2mm Cu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8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Filtracja automatycznie dobierana do projekcji z możliwością zaprogramowania projekcji z filtracją przez użytkownika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34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7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Wbudowany miernik dawki DAP z przesyłaniem dawki w nagłówku pliku </w:t>
            </w:r>
            <w:proofErr w:type="spellStart"/>
            <w:r>
              <w:rPr>
                <w:rFonts w:ascii="Cambria" w:hAnsi="Cambria"/>
              </w:rPr>
              <w:t>Dicom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D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ZAWIESZENIE SUFITOWE LAMPY RTG ZMOTORYZOWANE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Zakres zmotoryzowanego obrotu lampy wokół osi poziomej ≥ +/- 125°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Zakres zmotoryzowanego obrotu lampy wokół osi pionowej ≥ +/- 150°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Times New Roman" w:hAnsi="Cambria" w:cs="TT14Bt00"/>
                <w:u w:val="single"/>
                <w:lang w:eastAsia="pl-PL"/>
              </w:rPr>
              <w:t>&lt;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>+/- 175</w:t>
            </w:r>
            <w:r>
              <w:rPr>
                <w:rFonts w:ascii="Cambria" w:eastAsia="Garamond" w:hAnsi="Cambria" w:cs="Garamond"/>
                <w:kern w:val="2"/>
                <w:vertAlign w:val="superscript"/>
                <w:lang w:eastAsia="zh-CN"/>
              </w:rPr>
              <w:t xml:space="preserve">o 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>–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0 pkt.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Powyżej 175</w:t>
            </w:r>
            <w:r>
              <w:rPr>
                <w:rFonts w:ascii="Cambria" w:eastAsia="Garamond" w:hAnsi="Cambria" w:cs="Garamond"/>
                <w:kern w:val="2"/>
                <w:vertAlign w:val="superscript"/>
                <w:lang w:eastAsia="zh-CN"/>
              </w:rPr>
              <w:t>o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–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>5 pkt.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Zakres zmotoryzowanego ruchu pionowego kolumny lampy ≥ 160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Zakres zmotoryzowanego ruchu wzdłużnego lampy 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≥ 300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≥ 300 cm  ≤ 450 cm – 0 pkt.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&gt; 450 cm – 5 pkt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Zakres zmotoryzowanego ruchu poprzecznego lampy  ≥ 260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≥ 260 cm ≤ 270 cm – 0 pkt.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&gt;270 cm – 5 pkt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Cyfrowy wyświetlacz LCD na lampie/kołpaku  z informacją o parametrach wykonywanego badania: kąt lampy, SID, filtr; wybór miejsca ekspozycji, sygnalizacja obecności kratki;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Dotykowy panel LCD przy lampie  pozwalający na wyświetlanie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danych pacjenta: min. imię, nazwisko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Dotykowy panel LCD przy lampie  pozwalający na wyświetlanie obrazu badania  po ekspozycji z możliwością akceptacji/odrzucenia badania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8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Funkcja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t>autocentrowania</w:t>
            </w:r>
            <w:proofErr w:type="spellEnd"/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t>autopozycjonowania</w:t>
            </w:r>
            <w:proofErr w:type="spellEnd"/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i nadążności lampy z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t>Bucky</w:t>
            </w:r>
            <w:proofErr w:type="spellEnd"/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w statywie i stole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E.</w:t>
            </w:r>
          </w:p>
        </w:tc>
        <w:tc>
          <w:tcPr>
            <w:tcW w:w="9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DETEKTORY CYFROWE BEZPRZEWODOWE DO STOŁU I STATYWU (2 SZTUKI)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Detektor typu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CsI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umożliwiający wykonanie badania pacjenta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Minimalny rozmiar aktywny detektora  42 x 42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Tak, podać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Rozdzielczość detektora wyrażona liczbą  pikseli (mln) ≥ 9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Mp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</w:t>
            </w: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Rozmiar piksela ≤ 140 µm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Głębokość akwizycji ≥ 16 bit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DQE dla 1,0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Lp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>/mm &gt;50%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Komplet 3 akumulatorów w zestawie do każdego akumulatora oraz ładowarka 1 szt.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108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Pr="00471698" w:rsidRDefault="00A2281E" w:rsidP="00003DDB">
            <w:pPr>
              <w:rPr>
                <w:rFonts w:ascii="Cambria" w:hAnsi="Cambria"/>
              </w:rPr>
            </w:pPr>
            <w:r w:rsidRPr="00471698">
              <w:rPr>
                <w:rFonts w:ascii="Cambria" w:hAnsi="Cambria"/>
              </w:rPr>
              <w:t xml:space="preserve">Zaawansowana konstrukcja obudowy zapewnia całkowita </w:t>
            </w:r>
            <w:proofErr w:type="spellStart"/>
            <w:r w:rsidRPr="00471698">
              <w:rPr>
                <w:rFonts w:ascii="Cambria" w:hAnsi="Cambria"/>
              </w:rPr>
              <w:t>ochrone</w:t>
            </w:r>
            <w:proofErr w:type="spellEnd"/>
            <w:r w:rsidRPr="00471698">
              <w:rPr>
                <w:rFonts w:ascii="Cambria" w:hAnsi="Cambria"/>
              </w:rPr>
              <w:t xml:space="preserve"> przed wnikaniem wody i pyłu do poziomu min. IP57 </w:t>
            </w:r>
            <w:r w:rsidRPr="00471698">
              <w:rPr>
                <w:rFonts w:ascii="Cambria" w:hAnsi="Cambria"/>
                <w:color w:val="231F20"/>
              </w:rPr>
              <w:t xml:space="preserve"> potwierdzona oznaczeniem producenta na obudowie detektora</w:t>
            </w:r>
            <w:r w:rsidRPr="00471698">
              <w:rPr>
                <w:rFonts w:ascii="Cambria" w:hAnsi="Cambria"/>
              </w:rPr>
              <w:t>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 – 10 pkt.</w:t>
            </w:r>
          </w:p>
          <w:p w:rsidR="00A2281E" w:rsidRPr="00471698" w:rsidRDefault="00A2281E" w:rsidP="00003DD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Nie – 0 pkt</w:t>
            </w:r>
            <w:r>
              <w:rPr>
                <w:rFonts w:ascii="Cambria" w:eastAsia="Garamond" w:hAnsi="Cambria" w:cs="Garamond"/>
                <w:b/>
                <w:bCs/>
                <w:kern w:val="2"/>
                <w:lang w:eastAsia="zh-CN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Pr="00C97EA4" w:rsidRDefault="00A2281E" w:rsidP="00003DDB">
            <w:pPr>
              <w:jc w:val="center"/>
              <w:rPr>
                <w:sz w:val="16"/>
                <w:szCs w:val="16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3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Uchwyt z kratką do badań poza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t>Bucky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F.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  <w:kern w:val="2"/>
                <w:lang w:eastAsia="zh-CN"/>
              </w:rPr>
              <w:t xml:space="preserve">STÓŁ PACJENTA 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Automatyczne podążanie detektora za lampą RTG przy jej przesuwie w osi długiej stołu w zakresie min 45 cm.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Automatyczne podążanie detektora za lampą RTG przy jej kątowaniu wzdłuż osi długiej stołu (zdjęcia skośne).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 – 5 pkt.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Nie – 0 pkt.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Maksymalne obciążenie stołu (ciężar pacjenta) możliwe do wykonania ekspozycji ≥270 kg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lang w:eastAsia="pl-PL" w:bidi="pl-PL"/>
              </w:rPr>
            </w:pPr>
            <w:r>
              <w:rPr>
                <w:rFonts w:ascii="Cambria" w:eastAsia="Garamond" w:hAnsi="Cambria" w:cs="Garamond"/>
                <w:lang w:eastAsia="pl-PL" w:bidi="pl-PL"/>
              </w:rPr>
              <w:t xml:space="preserve">&lt; 320 kg 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>≥</w:t>
            </w:r>
            <w:r>
              <w:rPr>
                <w:rFonts w:ascii="Cambria" w:eastAsia="Garamond" w:hAnsi="Cambria" w:cs="Garamond"/>
                <w:lang w:eastAsia="pl-PL" w:bidi="pl-PL"/>
              </w:rPr>
              <w:t>270 kg – 0 pkt</w:t>
            </w:r>
          </w:p>
          <w:p w:rsidR="00A2281E" w:rsidRDefault="00A2281E" w:rsidP="00003DDB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Tahoma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lang w:eastAsia="pl-PL" w:bidi="pl-PL"/>
              </w:rPr>
              <w:t>≥320 kg – 5 pkt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Zmotoryzowany zakres ruchu pionowego ≥ 33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Minimalna odległość blatu od podłogi ≤ 55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Maksymalna wysokość blatu od podłogi ≥ 85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Ekwiwalent Al. blatu pacjenta  ≤ 0,8 mm Al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Długość blatu stołu ≥ 215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Szerokość blatu stołu ≥ 80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Pływający blat stołu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32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Przesuw wzdłużny blatu ≥ 95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Przesuw poprzeczny blatu ≥ 26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3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Wyjmowana kratka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przeciwrozproszeniowa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Automatyka AEC 3 –komorowa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Nadążanie lampy za zmianą wysokości detektora w stole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Obrazowanie kości długich na leżąco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Tak 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Uchwyt na detektor do badań promieniem poziomym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Ładowanie detektorów w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t>Bucky</w:t>
            </w:r>
            <w:proofErr w:type="spellEnd"/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19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Możliwość wysunięcia detektora ze stołu z szufladą do badań bez kratki.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G.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 xml:space="preserve">STATYW DO ZDJĘĆ PŁUCNYCH </w:t>
            </w:r>
          </w:p>
        </w:tc>
      </w:tr>
      <w:tr w:rsidR="00A2281E" w:rsidTr="00003DDB">
        <w:trPr>
          <w:trHeight w:val="32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Ruch detektora w pionie zmotoryzowany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Ruch statywu z detektorem  w poziomie zmotoryzowany po podłodze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Możliwość pozycjonowania statywu z zabudowanym detektorem równolegle do krawędzi bocznej stołu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rtg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, przy jego długiej osi do projekcji bocznych promieniem poziomym w całym zakresie jego długości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Pochylenie detektora do pozycji poziomej, zmotoryzowane, możliwość wykonania zdjęć wiązką pionową góra – dół lub ukośną w zakresie min – 15º / + 90º.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Możliwość wykonywania zdjęć wiązką - promieniem skośnym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Automatyczne podążanie detektora za ruchem lampy góra – dół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Automatyczne podążanie lampy za zmianami położenia wysokości statywu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Wyjmowana bez użycia narzędzi kratka </w:t>
            </w:r>
            <w:proofErr w:type="spellStart"/>
            <w:r>
              <w:rPr>
                <w:rFonts w:ascii="Cambria" w:eastAsia="Lucida Sans Unicode" w:hAnsi="Cambria" w:cs="Tahoma"/>
                <w:kern w:val="2"/>
                <w:lang w:eastAsia="zh-CN"/>
              </w:rPr>
              <w:lastRenderedPageBreak/>
              <w:t>przeciwrozproszeniowa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Panel sterowania  ruchem </w:t>
            </w:r>
            <w:proofErr w:type="spellStart"/>
            <w:r>
              <w:rPr>
                <w:rFonts w:ascii="Cambria" w:hAnsi="Cambria"/>
              </w:rPr>
              <w:t>Bucky</w:t>
            </w:r>
            <w:proofErr w:type="spellEnd"/>
            <w:r>
              <w:rPr>
                <w:rFonts w:ascii="Cambria" w:hAnsi="Cambria"/>
              </w:rPr>
              <w:t xml:space="preserve"> na stojaku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Najniższa wysokość promienia poziomego od podłogi liczona do środka detektora ≤35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lang w:eastAsia="pl-PL" w:bidi="pl-PL"/>
              </w:rPr>
            </w:pPr>
            <w:r>
              <w:rPr>
                <w:rFonts w:ascii="Cambria" w:eastAsia="Garamond" w:hAnsi="Cambria" w:cs="Garamond"/>
                <w:lang w:eastAsia="pl-PL" w:bidi="pl-PL"/>
              </w:rPr>
              <w:t>≤ 35 cm ≥30 cm – 0 pkt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lang w:eastAsia="pl-PL" w:bidi="pl-PL"/>
              </w:rPr>
              <w:t>&lt;30 cm – 5 pkt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Najwyższa wysokość promienia poziomego od podłogi liczona do środka detektora ≥170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Automatyka AEC z możliwością wyboru min. 3 komór aktywnych lub automatyka AEC trójkomorowa z możliwością obrotu szuflady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Bucky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 rozwiązanie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Uchwyt boczy i górny ułatwiający zdjęcia w projekcjach PA i bocznych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Automatyczne wyrównanie detektora z lampą RTG, zmotoryzowane przesuwanie wzdłuż długiej osi stołu ≥ 300 cm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Współczynnik pochłaniania blatu stojaka ≤0,7 mm Al.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0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hAnsi="Cambria"/>
              </w:rPr>
              <w:t xml:space="preserve">Ładowanie detektorów w </w:t>
            </w:r>
            <w:proofErr w:type="spellStart"/>
            <w:r>
              <w:rPr>
                <w:rFonts w:ascii="Cambria" w:hAnsi="Cambria"/>
              </w:rPr>
              <w:t>Bucky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kern w:val="2"/>
                <w:lang w:eastAsia="zh-CN"/>
              </w:rPr>
            </w:pPr>
            <w:r>
              <w:rPr>
                <w:rFonts w:ascii="Cambria" w:hAnsi="Cambria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color w:val="FF0000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H.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 xml:space="preserve">KONSOLA TECHNIKA APARATU CYFROWEGO 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Konsola generatora zintegrowana z konsolą obrazową technika i monitorem. ( Nie dopuszcza się rozwiązań np.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retrofit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czyli tzw. ucyfrowień za pomocą niezależnego modułu ekspozycyjnego wpinanego pomiędzy konsolę aparatu i generatora z niezależnym włącznikiem ekspozycji. Aparat ma posiadać oryginalną dedykowaną stację technika i konsolę generatora ).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Monitor  LCD min. 21”, jasność: min. </w:t>
            </w:r>
            <w:r>
              <w:rPr>
                <w:rFonts w:ascii="Cambria" w:eastAsia="Lucida Sans Unicode" w:hAnsi="Cambria" w:cs="Arial"/>
                <w:kern w:val="2"/>
                <w:lang w:eastAsia="zh-CN"/>
              </w:rPr>
              <w:t>200cd/m</w:t>
            </w:r>
            <w:r>
              <w:rPr>
                <w:rFonts w:ascii="Cambria" w:eastAsia="Lucida Sans Unicode" w:hAnsi="Cambria" w:cs="Arial"/>
                <w:kern w:val="2"/>
                <w:vertAlign w:val="superscript"/>
                <w:lang w:eastAsia="zh-CN"/>
              </w:rPr>
              <w:t>2</w:t>
            </w:r>
            <w:r>
              <w:rPr>
                <w:rFonts w:ascii="Cambria" w:eastAsia="Lucida Sans Unicode" w:hAnsi="Cambria" w:cs="Arial"/>
                <w:kern w:val="2"/>
                <w:lang w:eastAsia="zh-CN"/>
              </w:rPr>
              <w:t>, kontrast min.:1000:1, rozdzielczość: min. 1280x1024 pikseli 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Pojemność dysku obrazowego ≥ 4 000 obrazów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both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Czas wyświetlenia na monitorze obrazu nieprzetworzonego od zakończenia akwizycji ≤ 4 s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Tak, podać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Regulacja jasności i kontrastu obrazów z zaawansowaną obróbką obrazową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Tak, podać nazwę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Wykonywanie zdjęć kości długich na stojaku i stole rentgenowskim (automatycznie)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Możliwość umieszczania oznaczenia projekcji L/R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Możliwość rozbudowy aparatu o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tomosynteze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Możliwość obracania i powiększania obrazu.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Obrót obrazu o dowolny kąt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Programy anatomiczne z możliwością edycji nazw i parametrów przez technika  ≥ 200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Tak, podać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Współpraca ze standardem DICOM 3.0 z obsługą 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>protokołów: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val="en-US" w:eastAsia="zh-CN"/>
              </w:rPr>
            </w:pPr>
            <w:r>
              <w:rPr>
                <w:rFonts w:ascii="Cambria" w:eastAsia="Garamond" w:hAnsi="Cambria" w:cs="Garamond"/>
                <w:kern w:val="2"/>
                <w:lang w:val="en-US" w:eastAsia="zh-CN"/>
              </w:rPr>
              <w:t>-Worklist Manager (WLM), Storage, MPPS,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-DICOM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Storage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Commitment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,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br/>
              <w:t>-automatyczne i manualne wysyłanie badań na zdefiniowane serwery PACS,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br/>
              <w:t>-możliwość samodzielnej zmiany przez Zamawiającego konfiguracji  sieciowej i listy serwerów PACS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 xml:space="preserve">Tak, podać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lastRenderedPageBreak/>
              <w:t>protokoły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Interfejs użytkownika w języku polskim z pomocą kontekstową oraz z możliwością tworzenia własnych nazw procedur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Analiza zdjęć odrzuconych  z możliwością tworzenia raportów w plikach np.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excel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lub podobnych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Przechowywanie min. 100 badań odrzuconych z możliwością przywrócenia i wysłania do systemu PACS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Czytnik kodów kreskowych ze stojakiem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Tak-5 pkt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 -0 pkt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Nagrywarka CD i DVD umożliwiająca nagranie płyty z obrazami pacjenta w standardzie DICOM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Zdalna diagnostyka i usuwanie części usterek bez konieczności wizyt serwisu w miejscu instalacji aparatu RTG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Lucida Sans Unicode" w:hAnsi="Cambria" w:cs="Tahoma"/>
                <w:kern w:val="2"/>
                <w:lang w:eastAsia="zh-CN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Oprogramowanie pediatryczne z podziałem na min 4 grupy wiekowe, podać nazwę oprogramowania 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Oprogramowanie kratki wirtualnej, podać nazwę oprogramowania 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Dedykowane oprogramowanie do wizualizacji rur intubacyjnych, podać nazwę oprogramowania 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  <w:r>
              <w:rPr>
                <w:rFonts w:ascii="Cambria" w:eastAsia="Garamond" w:hAnsi="Cambria" w:cs="Garamond"/>
                <w:b/>
                <w:kern w:val="2"/>
                <w:lang w:eastAsia="zh-CN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Dedykowane oprogramowanie</w:t>
            </w: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do kompresji kości żeber, </w:t>
            </w: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podać nazwę oprogramowania 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Tak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UPS do konsoli technika zapewniający bezpieczne zamknięcie systemu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Pilot zdalnego sterowania do aparatu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rtg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>Stół do konsoli operatora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rPr>
          <w:trHeight w:val="3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1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Po wykonaniu zdjęcia na dowolnym z detektorów dane ekspozycyjne z generatora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kV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oraz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mAs</w:t>
            </w:r>
            <w:proofErr w:type="spellEnd"/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 są automatycznie bez udziału technika zapamiętywane w nagłówku obrazu w formacie DICOM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I.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Tahoma"/>
                <w:kern w:val="2"/>
                <w:lang w:eastAsia="zh-CN"/>
              </w:rPr>
            </w:pPr>
            <w:r>
              <w:rPr>
                <w:rFonts w:ascii="Cambria" w:eastAsia="MS Mincho" w:hAnsi="Cambria" w:cs="Tahoma"/>
                <w:b/>
                <w:bCs/>
                <w:kern w:val="2"/>
                <w:lang w:eastAsia="zh-CN"/>
              </w:rPr>
              <w:t>INNE</w:t>
            </w: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jc w:val="both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Wyposażenie w intercom do komunikacji głosowej z pacjentem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Demontaż aparatu RTG wskazanego przez </w:t>
            </w:r>
            <w:r>
              <w:rPr>
                <w:rFonts w:ascii="Cambria" w:eastAsia="Lucida Sans Unicode" w:hAnsi="Cambria" w:cs="Tahoma"/>
                <w:kern w:val="2"/>
                <w:lang w:eastAsia="zh-CN"/>
              </w:rPr>
              <w:lastRenderedPageBreak/>
              <w:t xml:space="preserve">Zamawiającego wraz z jego utylizacją.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lastRenderedPageBreak/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Opracowanie pełnej dokumentacji niezbędnej do uzyskania zezwoleń na uruchomienie pracowni RTG oraz na uruchomienie i stosowanie aparatu RTG, w tym:</w:t>
            </w:r>
          </w:p>
          <w:p w:rsidR="00A2281E" w:rsidRPr="009B2C6F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- projekt ochrony radiologicznej zgodnie z wymogami oferowanego urządzenia wraz z obliczeniem osłon stałych przed promieniowaniem jonizującym oraz dostosowanie do tych wymogów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Fotele biurowe na kółkach – 6 sztuk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Biurko do przechowywania dokumentacji medycznej – 3 sztuki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Stacja diagnostyczna rentgenowska zgodna technicznie z posiadaną przez użytkownika z dedykowanym komputerem typu laptop do sporządzania wyników badań radiologicznych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Pr="005A6E5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Zestaw fantomów i miernik dawki do kontroli jakości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Pozycjoner pediatryczny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Pozycjonery do zdjęć ortopedycznych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Komplet fartuchów ochronnych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Ochrony na mosznę, tarczycę oraz okulary ochronne dla dzieci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bCs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  <w:tr w:rsidR="00A2281E" w:rsidTr="00003DDB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1E" w:rsidRDefault="00A2281E" w:rsidP="00A2281E">
            <w:pPr>
              <w:widowControl w:val="0"/>
              <w:numPr>
                <w:ilvl w:val="0"/>
                <w:numId w:val="22"/>
              </w:numPr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Wykonawca dostarczy Zamawiającemu wraz z przedmiotem umowy: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- Karta gwarancyjna w języku polskim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- Instrukcja obsługi w języku polskim w formie    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 drukowanej i na płycie CD, dokumentacja techniczna  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 xml:space="preserve">  w języku polskim,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- Paszport techniczny</w:t>
            </w:r>
          </w:p>
          <w:p w:rsidR="00A2281E" w:rsidRDefault="00A2281E" w:rsidP="00003DDB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kern w:val="2"/>
                <w:lang w:eastAsia="zh-CN"/>
              </w:rPr>
              <w:t>- Wykaz autoryzowanych punktów serwisowych.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pacing w:after="0" w:line="240" w:lineRule="auto"/>
              <w:jc w:val="center"/>
              <w:rPr>
                <w:rFonts w:ascii="Cambria" w:eastAsia="Garamond" w:hAnsi="Cambria" w:cs="Garamond"/>
                <w:kern w:val="2"/>
                <w:lang w:eastAsia="zh-CN"/>
              </w:rPr>
            </w:pPr>
            <w:r w:rsidRPr="005A6E5E">
              <w:rPr>
                <w:rFonts w:ascii="Cambria" w:eastAsia="Garamond" w:hAnsi="Cambria" w:cs="Garamond"/>
                <w:bCs/>
                <w:kern w:val="2"/>
                <w:lang w:eastAsia="zh-CN"/>
              </w:rPr>
              <w:t>Tak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1E" w:rsidRDefault="00A2281E" w:rsidP="00003DDB">
            <w:pPr>
              <w:widowControl w:val="0"/>
              <w:suppressLineNumbers/>
              <w:spacing w:after="0" w:line="240" w:lineRule="auto"/>
              <w:rPr>
                <w:rFonts w:ascii="Cambria" w:eastAsia="MS Mincho" w:hAnsi="Cambria" w:cs="Tahoma"/>
                <w:kern w:val="2"/>
                <w:lang w:eastAsia="zh-CN"/>
              </w:rPr>
            </w:pPr>
          </w:p>
        </w:tc>
      </w:tr>
    </w:tbl>
    <w:p w:rsidR="00A2281E" w:rsidRDefault="00A2281E" w:rsidP="00A2281E"/>
    <w:p w:rsidR="00A609A2" w:rsidRPr="00906C7C" w:rsidRDefault="00A609A2" w:rsidP="00A609A2">
      <w:pPr>
        <w:tabs>
          <w:tab w:val="left" w:pos="1135"/>
          <w:tab w:val="left" w:pos="8395"/>
          <w:tab w:val="left" w:pos="10655"/>
          <w:tab w:val="left" w:pos="13035"/>
        </w:tabs>
        <w:spacing w:after="0" w:line="240" w:lineRule="auto"/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</w:rPr>
        <w:t>UWAGA!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A609A2" w:rsidRPr="00906C7C" w:rsidRDefault="00A609A2" w:rsidP="00A609A2">
      <w:pPr>
        <w:spacing w:after="0" w:line="240" w:lineRule="auto"/>
        <w:ind w:left="55"/>
        <w:rPr>
          <w:rFonts w:ascii="Times New Roman" w:eastAsia="Times New Roman" w:hAnsi="Times New Roman"/>
        </w:rPr>
      </w:pPr>
      <w:r w:rsidRPr="00906C7C">
        <w:rPr>
          <w:rFonts w:ascii="Times New Roman" w:eastAsia="Times New Roman" w:hAnsi="Times New Roman"/>
        </w:rPr>
        <w:t>Parametry, których wartość określona jest w rubryce „wartość wymagana” stanowią wymagania, których niespełnienie spowoduje odrzucenie oferty.</w:t>
      </w:r>
    </w:p>
    <w:p w:rsidR="00A609A2" w:rsidRPr="007B53E7" w:rsidRDefault="00A609A2" w:rsidP="00A609A2">
      <w:pPr>
        <w:spacing w:after="0" w:line="240" w:lineRule="auto"/>
        <w:ind w:left="55"/>
        <w:rPr>
          <w:rFonts w:ascii="Times New Roman" w:eastAsia="Times New Roman" w:hAnsi="Times New Roman"/>
        </w:rPr>
      </w:pPr>
      <w:r w:rsidRPr="007B53E7">
        <w:rPr>
          <w:rFonts w:ascii="Times New Roman" w:eastAsia="Times New Roman" w:hAnsi="Times New Roman"/>
        </w:rPr>
        <w:t xml:space="preserve">Do oferty na wezwanie Zamawiającego należy dołączyć materiały informacyjne (np. katalog,) potwierdzające spełnienie wymagań opisanych w </w:t>
      </w:r>
      <w:r>
        <w:rPr>
          <w:rFonts w:ascii="Times New Roman" w:eastAsia="Times New Roman" w:hAnsi="Times New Roman"/>
        </w:rPr>
        <w:t>OPZ</w:t>
      </w:r>
      <w:r w:rsidRPr="007B53E7">
        <w:rPr>
          <w:rFonts w:ascii="Times New Roman" w:eastAsia="Times New Roman" w:hAnsi="Times New Roman"/>
        </w:rPr>
        <w:t>.</w:t>
      </w:r>
    </w:p>
    <w:p w:rsidR="00A609A2" w:rsidRPr="00906C7C" w:rsidRDefault="00A609A2" w:rsidP="00A609A2">
      <w:pPr>
        <w:tabs>
          <w:tab w:val="left" w:pos="8395"/>
          <w:tab w:val="left" w:pos="10655"/>
          <w:tab w:val="left" w:pos="13035"/>
        </w:tabs>
        <w:spacing w:after="0" w:line="240" w:lineRule="auto"/>
        <w:ind w:left="55"/>
        <w:rPr>
          <w:rFonts w:ascii="Arial" w:eastAsia="Times New Roman" w:hAnsi="Arial" w:cs="Arial"/>
        </w:rPr>
      </w:pPr>
      <w:r w:rsidRPr="007B53E7">
        <w:rPr>
          <w:rFonts w:ascii="Times New Roman" w:eastAsia="Times New Roman" w:hAnsi="Times New Roman"/>
        </w:rPr>
        <w:t>Oferent gwarantuje, że urządzenie jest nowe, kompletne i do jego uruchomienia oraz stosowania</w:t>
      </w:r>
      <w:r w:rsidRPr="00906C7C">
        <w:rPr>
          <w:rFonts w:ascii="Times New Roman" w:eastAsia="Times New Roman" w:hAnsi="Times New Roman"/>
        </w:rPr>
        <w:t xml:space="preserve"> zgodnie z przeznaczeniem nie jest konieczny zakup dodatkowych elementów</w:t>
      </w:r>
      <w:r>
        <w:rPr>
          <w:rFonts w:ascii="Times New Roman" w:eastAsia="Times New Roman" w:hAnsi="Times New Roman"/>
        </w:rPr>
        <w:t xml:space="preserve"> </w:t>
      </w:r>
      <w:r w:rsidRPr="00906C7C">
        <w:rPr>
          <w:rFonts w:ascii="Times New Roman" w:eastAsia="Times New Roman" w:hAnsi="Times New Roman"/>
        </w:rPr>
        <w:t xml:space="preserve">i akcesoriów. 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A609A2" w:rsidRDefault="00A609A2" w:rsidP="00A609A2">
      <w:pPr>
        <w:tabs>
          <w:tab w:val="left" w:pos="13035"/>
        </w:tabs>
        <w:spacing w:after="0" w:line="240" w:lineRule="auto"/>
        <w:ind w:left="55"/>
        <w:rPr>
          <w:rFonts w:ascii="Times New Roman" w:eastAsia="Times New Roman" w:hAnsi="Times New Roman"/>
          <w:b/>
          <w:bCs/>
        </w:rPr>
      </w:pPr>
      <w:r w:rsidRPr="00906C7C">
        <w:rPr>
          <w:rFonts w:ascii="Times New Roman" w:eastAsia="Times New Roman" w:hAnsi="Times New Roman"/>
          <w:b/>
          <w:bCs/>
        </w:rPr>
        <w:t>Oświadczam, że urządzenie jest zgodne z opisem i posiada wymagane certyfikaty i dopuszczenia  do stosowania.</w:t>
      </w:r>
    </w:p>
    <w:p w:rsidR="00A609A2" w:rsidRDefault="00A609A2" w:rsidP="00A609A2">
      <w:pPr>
        <w:tabs>
          <w:tab w:val="left" w:pos="13035"/>
        </w:tabs>
        <w:spacing w:after="0" w:line="240" w:lineRule="auto"/>
        <w:ind w:left="55"/>
        <w:rPr>
          <w:rFonts w:ascii="Times New Roman" w:eastAsia="Times New Roman" w:hAnsi="Times New Roman"/>
          <w:b/>
          <w:bCs/>
        </w:rPr>
      </w:pPr>
    </w:p>
    <w:p w:rsidR="00A609A2" w:rsidRPr="00906C7C" w:rsidRDefault="00A609A2" w:rsidP="00A609A2">
      <w:pPr>
        <w:tabs>
          <w:tab w:val="left" w:pos="13035"/>
        </w:tabs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  <w:b/>
          <w:bCs/>
        </w:rPr>
        <w:tab/>
      </w:r>
    </w:p>
    <w:p w:rsidR="00A609A2" w:rsidRPr="00906C7C" w:rsidRDefault="00A609A2" w:rsidP="00A609A2">
      <w:pPr>
        <w:tabs>
          <w:tab w:val="left" w:pos="8395"/>
          <w:tab w:val="left" w:pos="10655"/>
          <w:tab w:val="left" w:pos="13035"/>
        </w:tabs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</w:rPr>
        <w:t xml:space="preserve">……………………………..     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0153BC" w:rsidRPr="00CE3DC3" w:rsidRDefault="00A609A2" w:rsidP="00CE3DC3">
      <w:pPr>
        <w:tabs>
          <w:tab w:val="left" w:pos="10655"/>
          <w:tab w:val="left" w:pos="13035"/>
        </w:tabs>
        <w:ind w:left="55"/>
        <w:rPr>
          <w:rFonts w:cstheme="minorHAnsi"/>
          <w:sz w:val="24"/>
          <w:szCs w:val="24"/>
        </w:rPr>
      </w:pPr>
      <w:r w:rsidRPr="00906C7C">
        <w:rPr>
          <w:rFonts w:ascii="Times New Roman" w:eastAsia="Times New Roman" w:hAnsi="Times New Roman"/>
        </w:rPr>
        <w:t xml:space="preserve">(miejscowość, data)                                            </w:t>
      </w:r>
      <w:r w:rsidR="00F53A2B">
        <w:rPr>
          <w:rFonts w:ascii="Times New Roman" w:eastAsia="Times New Roman" w:hAnsi="Times New Roman"/>
        </w:rPr>
        <w:t xml:space="preserve">                        (podpis</w:t>
      </w:r>
      <w:r w:rsidRPr="00906C7C">
        <w:rPr>
          <w:rFonts w:ascii="Times New Roman" w:eastAsia="Times New Roman" w:hAnsi="Times New Roman"/>
        </w:rPr>
        <w:t xml:space="preserve"> oferenta ) </w:t>
      </w:r>
    </w:p>
    <w:sectPr w:rsidR="000153BC" w:rsidRPr="00CE3DC3" w:rsidSect="0022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64" w:rsidRDefault="003B6764" w:rsidP="003B6764">
      <w:pPr>
        <w:spacing w:after="0" w:line="240" w:lineRule="auto"/>
      </w:pPr>
      <w:r>
        <w:separator/>
      </w:r>
    </w:p>
  </w:endnote>
  <w:endnote w:type="continuationSeparator" w:id="0">
    <w:p w:rsidR="003B6764" w:rsidRDefault="003B6764" w:rsidP="003B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55 Roman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75 Bold">
    <w:altName w:val="Arial"/>
    <w:charset w:val="EE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14B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7C" w:rsidRDefault="004B64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7C" w:rsidRDefault="004B647C" w:rsidP="004B647C">
    <w:pPr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pn. „Zakup niezbędnego sprzętu oraz adaptacja pomieszczeń w związku z pojawieniem się </w:t>
    </w:r>
    <w:proofErr w:type="spellStart"/>
    <w:r>
      <w:rPr>
        <w:rFonts w:ascii="Arial" w:hAnsi="Arial" w:cs="Arial"/>
        <w:sz w:val="14"/>
        <w:szCs w:val="14"/>
      </w:rPr>
      <w:t>koronawirusa</w:t>
    </w:r>
    <w:proofErr w:type="spellEnd"/>
    <w:r>
      <w:rPr>
        <w:rFonts w:ascii="Arial" w:hAnsi="Arial" w:cs="Arial"/>
        <w:sz w:val="14"/>
        <w:szCs w:val="14"/>
      </w:rPr>
      <w:t xml:space="preserve"> SARS-CoV-2 na terenie województwa mazowieckiego”, jest realizowany przez Województwo Mazowieckie w ramach Regionalnego Programu Operacyjnego Województwa Mazowieckiego na lata 2014-2020.</w:t>
    </w:r>
  </w:p>
  <w:p w:rsidR="004B647C" w:rsidRDefault="004B647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7C" w:rsidRDefault="004B64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64" w:rsidRDefault="003B6764" w:rsidP="003B6764">
      <w:pPr>
        <w:spacing w:after="0" w:line="240" w:lineRule="auto"/>
      </w:pPr>
      <w:r>
        <w:separator/>
      </w:r>
    </w:p>
  </w:footnote>
  <w:footnote w:type="continuationSeparator" w:id="0">
    <w:p w:rsidR="003B6764" w:rsidRDefault="003B6764" w:rsidP="003B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7C" w:rsidRDefault="004B64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64" w:rsidRDefault="003B6764">
    <w:pPr>
      <w:pStyle w:val="Nagwek"/>
    </w:pPr>
    <w:r w:rsidRPr="003B6764">
      <w:rPr>
        <w:noProof/>
        <w:lang w:eastAsia="pl-PL"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7C" w:rsidRDefault="004B64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>
    <w:nsid w:val="00224B48"/>
    <w:multiLevelType w:val="multilevel"/>
    <w:tmpl w:val="8616A09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3">
    <w:nsid w:val="0E9C384E"/>
    <w:multiLevelType w:val="multilevel"/>
    <w:tmpl w:val="79A88CDE"/>
    <w:lvl w:ilvl="0">
      <w:start w:val="1"/>
      <w:numFmt w:val="decimal"/>
      <w:lvlText w:val="%1."/>
      <w:lvlJc w:val="left"/>
      <w:pPr>
        <w:ind w:left="643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4">
    <w:nsid w:val="1BD5668E"/>
    <w:multiLevelType w:val="multilevel"/>
    <w:tmpl w:val="209E90E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5">
    <w:nsid w:val="3E405C36"/>
    <w:multiLevelType w:val="multilevel"/>
    <w:tmpl w:val="9F46F01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6">
    <w:nsid w:val="3F90400F"/>
    <w:multiLevelType w:val="multilevel"/>
    <w:tmpl w:val="8F38E85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7">
    <w:nsid w:val="3FB133AB"/>
    <w:multiLevelType w:val="multilevel"/>
    <w:tmpl w:val="DB141EEC"/>
    <w:lvl w:ilvl="0">
      <w:start w:val="9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8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9">
    <w:nsid w:val="52763AB1"/>
    <w:multiLevelType w:val="multilevel"/>
    <w:tmpl w:val="CB22807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10">
    <w:nsid w:val="6B236407"/>
    <w:multiLevelType w:val="multilevel"/>
    <w:tmpl w:val="52D8B70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abstractNum w:abstractNumId="11">
    <w:nsid w:val="76626609"/>
    <w:multiLevelType w:val="multilevel"/>
    <w:tmpl w:val="875A017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ind w:left="1588" w:hanging="360"/>
      </w:pPr>
    </w:lvl>
    <w:lvl w:ilvl="3">
      <w:start w:val="1"/>
      <w:numFmt w:val="decimal"/>
      <w:lvlText w:val="%4."/>
      <w:lvlJc w:val="left"/>
      <w:pPr>
        <w:ind w:left="2308" w:hanging="360"/>
      </w:pPr>
    </w:lvl>
    <w:lvl w:ilvl="4">
      <w:start w:val="1"/>
      <w:numFmt w:val="decimal"/>
      <w:lvlText w:val="%5."/>
      <w:lvlJc w:val="left"/>
      <w:pPr>
        <w:ind w:left="3028" w:hanging="360"/>
      </w:pPr>
    </w:lvl>
    <w:lvl w:ilvl="5">
      <w:start w:val="1"/>
      <w:numFmt w:val="decimal"/>
      <w:lvlText w:val="%6."/>
      <w:lvlJc w:val="left"/>
      <w:pPr>
        <w:ind w:left="3748" w:hanging="360"/>
      </w:pPr>
    </w:lvl>
    <w:lvl w:ilvl="6">
      <w:start w:val="1"/>
      <w:numFmt w:val="decimal"/>
      <w:lvlText w:val="%7."/>
      <w:lvlJc w:val="left"/>
      <w:pPr>
        <w:ind w:left="4468" w:hanging="360"/>
      </w:pPr>
    </w:lvl>
    <w:lvl w:ilvl="7">
      <w:start w:val="1"/>
      <w:numFmt w:val="decimal"/>
      <w:lvlText w:val="%8."/>
      <w:lvlJc w:val="left"/>
      <w:pPr>
        <w:ind w:left="5188" w:hanging="360"/>
      </w:pPr>
    </w:lvl>
    <w:lvl w:ilvl="8">
      <w:start w:val="1"/>
      <w:numFmt w:val="decimal"/>
      <w:lvlText w:val="%9."/>
      <w:lvlJc w:val="left"/>
      <w:pPr>
        <w:ind w:left="5908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1"/>
  </w:num>
  <w:num w:numId="20">
    <w:abstractNumId w:val="6"/>
  </w:num>
  <w:num w:numId="21">
    <w:abstractNumId w:val="10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81E"/>
    <w:rsid w:val="00003DDB"/>
    <w:rsid w:val="000153BC"/>
    <w:rsid w:val="00187AAA"/>
    <w:rsid w:val="002278D6"/>
    <w:rsid w:val="00357F85"/>
    <w:rsid w:val="00391002"/>
    <w:rsid w:val="003B6764"/>
    <w:rsid w:val="003B7FAB"/>
    <w:rsid w:val="004B647C"/>
    <w:rsid w:val="005047F7"/>
    <w:rsid w:val="00663E09"/>
    <w:rsid w:val="007435EF"/>
    <w:rsid w:val="007C2859"/>
    <w:rsid w:val="009554D0"/>
    <w:rsid w:val="00A2281E"/>
    <w:rsid w:val="00A609A2"/>
    <w:rsid w:val="00C150C7"/>
    <w:rsid w:val="00CE3DC3"/>
    <w:rsid w:val="00D679E4"/>
    <w:rsid w:val="00DF7E09"/>
    <w:rsid w:val="00F3418C"/>
    <w:rsid w:val="00F45BD7"/>
    <w:rsid w:val="00F5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List Bullet" w:uiPriority="1" w:qFormat="1"/>
    <w:lsdException w:name="List Number" w:uiPriority="2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39" w:unhideWhenUsed="0" w:qFormat="1"/>
    <w:lsdException w:name="Emphasis" w:semiHidden="0" w:uiPriority="39" w:unhideWhenUsed="0"/>
    <w:lsdException w:name="Table Grid" w:semiHidden="0" w:uiPriority="3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3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9" w:unhideWhenUsed="0"/>
    <w:lsdException w:name="Intense Emphasis" w:semiHidden="0" w:uiPriority="39" w:unhideWhenUsed="0"/>
    <w:lsdException w:name="Subtle Reference" w:semiHidden="0" w:uiPriority="59" w:unhideWhenUsed="0" w:qFormat="1"/>
    <w:lsdException w:name="Intense Reference" w:semiHidden="0" w:uiPriority="59" w:unhideWhenUsed="0" w:qFormat="1"/>
    <w:lsdException w:name="Book Title" w:semiHidden="0" w:uiPriority="59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A2281E"/>
    <w:pPr>
      <w:suppressAutoHyphens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B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7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creator>Wiński Marek - Korpo</dc:creator>
  <cp:lastModifiedBy>Aneta Wielgo</cp:lastModifiedBy>
  <cp:revision>9</cp:revision>
  <dcterms:created xsi:type="dcterms:W3CDTF">2021-10-13T09:12:00Z</dcterms:created>
  <dcterms:modified xsi:type="dcterms:W3CDTF">2021-10-14T15:21:00Z</dcterms:modified>
</cp:coreProperties>
</file>